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撤销华泰人寿保险股份有限公司常州中心支公司横山桥营销服务部</w:t>
      </w:r>
      <w:r>
        <w:rPr>
          <w:rFonts w:hint="eastAsia" w:ascii="黑体" w:eastAsia="黑体"/>
          <w:sz w:val="44"/>
          <w:szCs w:val="44"/>
        </w:rPr>
        <w:t>的公告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经中国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银行保险监督管理委员会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常州监管分局核准，我公司对华泰人寿保险股份有限公司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常州中心支公司横山桥营销服务部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予以撤销，并注销《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保险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许可证》，现将有关情况公告如下：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一、撤销机构基本情况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撤销机构名称：华泰人寿保险股份有限公司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常州中心支公司横山桥营销服务部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经营保险业务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许可证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流水号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00023812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机构编码：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000076320412003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成立日期：20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年0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业务范围：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许可该机构经营保险监督管理机构依照有关法律、行政法规和其他规定批准的业务，经营范围以批准文件和上级管理单位授权文件所列为准。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机构住所：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江苏省常州市武进区横山桥镇羊绒城3区118号二楼局部</w:t>
      </w:r>
    </w:p>
    <w:p>
      <w:pPr>
        <w:widowControl/>
        <w:shd w:val="clear" w:color="auto" w:fill="FFFFFF"/>
        <w:ind w:firstLine="64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撤销日期：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　　二、后续服务等相关事宜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600" w:lineRule="exact"/>
        <w:ind w:firstLine="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自撤销之日起，华泰人寿保险股份有限公司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横山桥营销服务部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后续服务事宜由华泰人寿保险股份有限公司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常州中心支公司武进营销服务部接管，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必要时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华泰人寿保险股份有限公司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eastAsia="zh-CN"/>
        </w:rPr>
        <w:t>常州中心支公司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相关部门配合处理，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确保投保人、被保险人或者受益人的合法权益不受侵害。</w:t>
      </w:r>
    </w:p>
    <w:p>
      <w:pPr>
        <w:widowControl/>
        <w:shd w:val="clear" w:color="auto" w:fill="FFFFFF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后续服务地址：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1.江苏省常州市天宁区关河东路66号九州环宇商务广场2007、2010、2011、1007、1008室；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2.江苏省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常州市武进区湖塘镇常武北路229号新地中心1501-1508号。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联系电话：1.0519-85223955（常州中心支公司）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2.0519-86322836（武进营销服务部）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迷你简咪咪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彩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立黑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金梅楷書字形空心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金梅碑楷字形空心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A"/>
    <w:rsid w:val="00001950"/>
    <w:rsid w:val="001C7989"/>
    <w:rsid w:val="0031020A"/>
    <w:rsid w:val="005E1AA5"/>
    <w:rsid w:val="055A0AAC"/>
    <w:rsid w:val="075A731E"/>
    <w:rsid w:val="07E33B72"/>
    <w:rsid w:val="169B0523"/>
    <w:rsid w:val="21DB0D95"/>
    <w:rsid w:val="21E04D18"/>
    <w:rsid w:val="290C23E2"/>
    <w:rsid w:val="38C100E8"/>
    <w:rsid w:val="4E635C5C"/>
    <w:rsid w:val="63C043CE"/>
    <w:rsid w:val="63F60357"/>
    <w:rsid w:val="6A133917"/>
    <w:rsid w:val="6CAB0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ScaleCrop>false</ScaleCrop>
  <LinksUpToDate>false</LinksUpToDate>
  <CharactersWithSpaces>531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2012-10-31T08:53:00Z</dcterms:created>
  <dc:creator>汪荣雨</dc:creator>
  <cp:lastModifiedBy>恽春花</cp:lastModifiedBy>
  <dcterms:modified xsi:type="dcterms:W3CDTF">2022-11-14T09:25:15Z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5801DE0223A642EE9C321AB91CD406E8</vt:lpwstr>
  </property>
</Properties>
</file>