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关于</w:t>
      </w:r>
      <w:r>
        <w:rPr>
          <w:rFonts w:hint="eastAsia" w:ascii="黑体" w:eastAsia="黑体"/>
          <w:sz w:val="44"/>
          <w:szCs w:val="44"/>
          <w:lang w:eastAsia="zh-CN"/>
        </w:rPr>
        <w:t>撤销华泰人寿保险股份有限公司常州中心支公司薛埠营销服务部</w:t>
      </w:r>
      <w:r>
        <w:rPr>
          <w:rFonts w:hint="eastAsia" w:ascii="黑体" w:eastAsia="黑体"/>
          <w:sz w:val="44"/>
          <w:szCs w:val="44"/>
        </w:rPr>
        <w:t>的公告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经中国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银行保险监督管理委员会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常州监管分局核准，我公司对华泰人寿保险股份有限公司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常州中心支公司薛埠营销服务部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予以撤销，并注销《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保险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许可证》，现将有关情况公告如下：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一、撤销机构基本情况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撤销机构名称：华泰人寿保险股份有限公司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常州中心支公司薛埠营销服务部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经营保险业务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许可证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流水号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00023810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机构编码：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000076320413002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成立日期：20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年0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06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业务范围：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许可该机构经营保险监督管理机构依照有关法律、行政法规和其他规定批准的业务，经营范围以批准文件和上级管理单位授权文件所列为准。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机构住所：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江苏省常州市金坛区薛埠镇百花东路70-1号。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撤销日期：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二、后续服务等相关事宜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beforeLines="0" w:afterLines="0" w:line="600" w:lineRule="exact"/>
        <w:ind w:firstLine="6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自撤销之日起，华泰人寿保险股份有限公司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常州中心支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薛埠营销服务部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后续服务事宜由华泰人寿保险股份有限公司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常州中心支公司金坛营销服务部接管，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必要时由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常州中心支公司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相关部门配合处理，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确保投保人、被保险人或者受益人的合法权益不受侵害。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后续服务地址：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1.江苏省常州市天宁区关河东路66号九州环宇商务广场2007、2010、2011、1007、1008室；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2.江苏省常州市金坛区中景商务中心1幢1301室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联系电话：1.0519-85223955（常州中心支公司）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2.0519-82695509（金坛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营销服务部）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迷你简咪咪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简彩云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立黑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金梅楷書字形空心">
    <w:panose1 w:val="02010509060101010101"/>
    <w:charset w:val="88"/>
    <w:family w:val="auto"/>
    <w:pitch w:val="default"/>
    <w:sig w:usb0="00000001" w:usb1="08E00000" w:usb2="00000000" w:usb3="00000000" w:csb0="00100001" w:csb1="00000000"/>
  </w:font>
  <w:font w:name="金梅碑楷字形空心">
    <w:panose1 w:val="02010509060101010101"/>
    <w:charset w:val="88"/>
    <w:family w:val="auto"/>
    <w:pitch w:val="default"/>
    <w:sig w:usb0="00000001" w:usb1="08E00000" w:usb2="00000000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0A"/>
    <w:rsid w:val="00001950"/>
    <w:rsid w:val="001C7989"/>
    <w:rsid w:val="0031020A"/>
    <w:rsid w:val="005E1AA5"/>
    <w:rsid w:val="055A0AAC"/>
    <w:rsid w:val="07E33B72"/>
    <w:rsid w:val="0C810A92"/>
    <w:rsid w:val="169B0523"/>
    <w:rsid w:val="21DB0D95"/>
    <w:rsid w:val="21E04D18"/>
    <w:rsid w:val="290C23E2"/>
    <w:rsid w:val="38C100E8"/>
    <w:rsid w:val="4E635C5C"/>
    <w:rsid w:val="63C043CE"/>
    <w:rsid w:val="63F60357"/>
    <w:rsid w:val="6A133917"/>
    <w:rsid w:val="6CAB07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453</Characters>
  <Lines>3</Lines>
  <Paragraphs>1</Paragraphs>
  <ScaleCrop>false</ScaleCrop>
  <LinksUpToDate>false</LinksUpToDate>
  <CharactersWithSpaces>531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2012-10-31T08:53:00Z</dcterms:created>
  <dc:creator>汪荣雨</dc:creator>
  <cp:lastModifiedBy>恽春花</cp:lastModifiedBy>
  <dcterms:modified xsi:type="dcterms:W3CDTF">2022-11-14T09:26:33Z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5801DE0223A642EE9C321AB91CD406E8</vt:lpwstr>
  </property>
</Properties>
</file>