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FC43"/>
    <w:p w14:paraId="509D95B9">
      <w:pPr>
        <w:spacing w:line="360" w:lineRule="auto"/>
        <w:jc w:val="center"/>
        <w:rPr>
          <w:rFonts w:hint="eastAsia"/>
          <w:b/>
          <w:bCs/>
          <w:sz w:val="48"/>
          <w:szCs w:val="32"/>
        </w:rPr>
      </w:pPr>
      <w:r>
        <w:rPr>
          <w:rFonts w:hint="eastAsia"/>
          <w:b/>
          <w:bCs/>
          <w:sz w:val="48"/>
          <w:szCs w:val="32"/>
          <w:lang w:val="en-US" w:eastAsia="zh-CN"/>
        </w:rPr>
        <w:t>关于</w:t>
      </w:r>
      <w:r>
        <w:rPr>
          <w:rFonts w:hint="eastAsia"/>
          <w:b/>
          <w:bCs/>
          <w:sz w:val="48"/>
          <w:szCs w:val="32"/>
        </w:rPr>
        <w:t>华泰人寿保险股份有限公司</w:t>
      </w:r>
    </w:p>
    <w:p w14:paraId="56D965C7">
      <w:pPr>
        <w:spacing w:line="360" w:lineRule="auto"/>
        <w:jc w:val="center"/>
        <w:rPr>
          <w:rFonts w:hint="eastAsia" w:eastAsia="宋体"/>
          <w:b/>
          <w:bCs/>
          <w:sz w:val="48"/>
          <w:szCs w:val="32"/>
          <w:lang w:val="en-US" w:eastAsia="zh-CN"/>
        </w:rPr>
      </w:pPr>
      <w:r>
        <w:rPr>
          <w:rFonts w:hint="eastAsia" w:eastAsia="宋体"/>
          <w:b/>
          <w:bCs/>
          <w:sz w:val="48"/>
          <w:szCs w:val="32"/>
          <w:lang w:val="en-US" w:eastAsia="zh-CN"/>
        </w:rPr>
        <w:t>浙江分公司仙居营销服务部</w:t>
      </w:r>
    </w:p>
    <w:p w14:paraId="4D584685">
      <w:pPr>
        <w:spacing w:line="360" w:lineRule="auto"/>
        <w:jc w:val="center"/>
        <w:rPr>
          <w:rFonts w:hint="eastAsia"/>
          <w:b/>
          <w:bCs/>
          <w:sz w:val="48"/>
          <w:szCs w:val="32"/>
        </w:rPr>
      </w:pPr>
      <w:r>
        <w:rPr>
          <w:rFonts w:hint="eastAsia"/>
          <w:b/>
          <w:bCs/>
          <w:sz w:val="48"/>
          <w:szCs w:val="32"/>
        </w:rPr>
        <w:t>领取新保险许可证公告</w:t>
      </w:r>
    </w:p>
    <w:p w14:paraId="61690FE9">
      <w:pPr>
        <w:spacing w:line="600" w:lineRule="auto"/>
        <w:jc w:val="left"/>
        <w:rPr>
          <w:rFonts w:hint="eastAsia" w:ascii="宋体" w:hAnsi="宋体" w:eastAsia="宋体" w:cs="宋体"/>
          <w:sz w:val="28"/>
          <w:szCs w:val="28"/>
          <w:lang w:val="en-US"/>
        </w:rPr>
      </w:pPr>
      <w:r>
        <w:rPr>
          <w:rFonts w:hint="eastAsia" w:ascii="宋体" w:hAnsi="宋体" w:eastAsia="宋体" w:cs="宋体"/>
          <w:sz w:val="28"/>
          <w:szCs w:val="28"/>
        </w:rPr>
        <mc:AlternateContent>
          <mc:Choice Requires="wps">
            <w:drawing>
              <wp:anchor distT="0" distB="0" distL="0" distR="0" simplePos="0" relativeHeight="251659264" behindDoc="1" locked="0" layoutInCell="1" allowOverlap="1">
                <wp:simplePos x="0" y="0"/>
                <wp:positionH relativeFrom="column">
                  <wp:posOffset>-198755</wp:posOffset>
                </wp:positionH>
                <wp:positionV relativeFrom="paragraph">
                  <wp:posOffset>34925</wp:posOffset>
                </wp:positionV>
                <wp:extent cx="5791200" cy="6483350"/>
                <wp:effectExtent l="7620" t="7620" r="11430" b="24130"/>
                <wp:wrapNone/>
                <wp:docPr id="1026" name="矩形 1"/>
                <wp:cNvGraphicFramePr/>
                <a:graphic xmlns:a="http://schemas.openxmlformats.org/drawingml/2006/main">
                  <a:graphicData uri="http://schemas.microsoft.com/office/word/2010/wordprocessingShape">
                    <wps:wsp>
                      <wps:cNvSpPr/>
                      <wps:spPr>
                        <a:xfrm>
                          <a:off x="0" y="0"/>
                          <a:ext cx="5791200" cy="6483350"/>
                        </a:xfrm>
                        <a:prstGeom prst="rect">
                          <a:avLst/>
                        </a:prstGeom>
                        <a:ln w="15875" cap="flat" cmpd="sng">
                          <a:solidFill>
                            <a:srgbClr val="000000"/>
                          </a:solidFill>
                          <a:prstDash val="solid"/>
                          <a:miter/>
                          <a:headEnd type="none" w="med" len="med"/>
                          <a:tailEnd type="none" w="med" len="med"/>
                        </a:ln>
                      </wps:spPr>
                      <wps:bodyPr/>
                    </wps:wsp>
                  </a:graphicData>
                </a:graphic>
              </wp:anchor>
            </w:drawing>
          </mc:Choice>
          <mc:Fallback>
            <w:pict>
              <v:rect id="矩形 1" o:spid="_x0000_s1026" o:spt="1" style="position:absolute;left:0pt;margin-left:-15.65pt;margin-top:2.75pt;height:510.5pt;width:456pt;z-index:-251657216;mso-width-relative:page;mso-height-relative:page;" filled="f" stroked="t" coordsize="21600,21600" o:gfxdata="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75pd2QAAAAoBAAAPAAAAAAAAAAEAIAAAACIAAABkcnMvZG93bnJldi54bWxQSwECFAAUAAAA&#10;CACHTuJAT0yHnu0BAADjAwAADgAAAAAAAAABACAAAAAoAQAAZHJzL2Uyb0RvYy54bWxQSwUGAAAA&#10;AAYABgBZAQAAhwUAAAAA&#10;">
                <v:fill on="f" focussize="0,0"/>
                <v:stroke weight="1.25pt" color="#000000" joinstyle="miter"/>
                <v:imagedata o:title=""/>
                <o:lock v:ext="edit" aspectratio="f"/>
              </v:rect>
            </w:pict>
          </mc:Fallback>
        </mc:AlternateContent>
      </w:r>
      <w:r>
        <w:rPr>
          <w:rFonts w:hint="eastAsia" w:ascii="宋体" w:hAnsi="宋体" w:eastAsia="宋体" w:cs="宋体"/>
          <w:sz w:val="28"/>
          <w:szCs w:val="28"/>
        </w:rPr>
        <w:t>机构名称：华泰人寿保险股份有限公司</w:t>
      </w:r>
      <w:r>
        <w:rPr>
          <w:rFonts w:hint="eastAsia" w:ascii="宋体" w:hAnsi="宋体" w:eastAsia="宋体" w:cs="宋体"/>
          <w:sz w:val="28"/>
          <w:szCs w:val="28"/>
          <w:lang w:val="en-US" w:eastAsia="zh-CN"/>
        </w:rPr>
        <w:t>浙江分公司仙居营销服务部</w:t>
      </w:r>
    </w:p>
    <w:p w14:paraId="2CFBF181">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经营区域：台州地区</w:t>
      </w:r>
    </w:p>
    <w:p w14:paraId="5E2D45CC">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rPr>
        <w:t>许可证编号：</w:t>
      </w:r>
      <w:r>
        <w:rPr>
          <w:rFonts w:hint="eastAsia" w:ascii="宋体" w:hAnsi="宋体" w:eastAsia="宋体" w:cs="宋体"/>
          <w:sz w:val="28"/>
          <w:szCs w:val="28"/>
          <w:lang w:val="en-US" w:eastAsia="zh-CN"/>
        </w:rPr>
        <w:t xml:space="preserve">00159189     </w:t>
      </w:r>
      <w:r>
        <w:rPr>
          <w:rFonts w:hint="eastAsia" w:ascii="宋体" w:hAnsi="宋体" w:eastAsia="宋体" w:cs="宋体"/>
          <w:sz w:val="28"/>
          <w:szCs w:val="28"/>
        </w:rPr>
        <w:t xml:space="preserve"> 许可证机构编码：</w:t>
      </w:r>
      <w:r>
        <w:rPr>
          <w:rFonts w:hint="eastAsia" w:ascii="宋体" w:hAnsi="宋体" w:eastAsia="宋体" w:cs="宋体"/>
          <w:sz w:val="28"/>
          <w:szCs w:val="28"/>
          <w:lang w:val="en-US" w:eastAsia="zh-CN"/>
        </w:rPr>
        <w:t>00007633</w:t>
      </w:r>
      <w:r>
        <w:rPr>
          <w:rFonts w:hint="default" w:ascii="宋体" w:hAnsi="宋体" w:eastAsia="宋体" w:cs="宋体"/>
          <w:sz w:val="28"/>
          <w:szCs w:val="28"/>
          <w:lang w:val="en-US" w:eastAsia="zh-CN"/>
        </w:rPr>
        <w:t>10</w:t>
      </w:r>
      <w:r>
        <w:rPr>
          <w:rFonts w:hint="eastAsia" w:ascii="宋体" w:hAnsi="宋体" w:eastAsia="宋体" w:cs="宋体"/>
          <w:sz w:val="28"/>
          <w:szCs w:val="28"/>
          <w:lang w:val="en-US" w:eastAsia="zh-CN"/>
        </w:rPr>
        <w:t>24001</w:t>
      </w:r>
    </w:p>
    <w:p w14:paraId="190BA1AE">
      <w:pPr>
        <w:spacing w:line="600" w:lineRule="auto"/>
        <w:jc w:val="left"/>
        <w:rPr>
          <w:rFonts w:hint="eastAsia" w:ascii="宋体" w:hAnsi="宋体" w:eastAsia="宋体" w:cs="宋体"/>
          <w:sz w:val="28"/>
          <w:szCs w:val="28"/>
        </w:rPr>
      </w:pPr>
      <w:r>
        <w:rPr>
          <w:rFonts w:hint="eastAsia" w:ascii="宋体" w:hAnsi="宋体" w:eastAsia="宋体" w:cs="宋体"/>
          <w:sz w:val="28"/>
          <w:szCs w:val="28"/>
        </w:rPr>
        <w:t>业务范围：人寿保险、健康保险</w:t>
      </w:r>
      <w:r>
        <w:rPr>
          <w:rFonts w:hint="eastAsia" w:ascii="宋体" w:hAnsi="宋体" w:eastAsia="宋体" w:cs="宋体"/>
          <w:sz w:val="28"/>
          <w:szCs w:val="28"/>
          <w:lang w:eastAsia="zh-CN"/>
        </w:rPr>
        <w:t>、</w:t>
      </w:r>
      <w:r>
        <w:rPr>
          <w:rFonts w:hint="eastAsia" w:ascii="宋体" w:hAnsi="宋体" w:eastAsia="宋体" w:cs="宋体"/>
          <w:sz w:val="28"/>
          <w:szCs w:val="28"/>
        </w:rPr>
        <w:t>意外伤害保险等各类人身保险业务；经营上级机构在银行保险监督管理机构批准业务范围内授权的其他业务</w:t>
      </w:r>
      <w:bookmarkStart w:id="0" w:name="_GoBack"/>
      <w:bookmarkEnd w:id="0"/>
    </w:p>
    <w:p w14:paraId="70EAAECF">
      <w:pPr>
        <w:spacing w:line="600" w:lineRule="auto"/>
        <w:jc w:val="left"/>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机构</w:t>
      </w:r>
      <w:r>
        <w:rPr>
          <w:rFonts w:hint="eastAsia" w:ascii="宋体" w:hAnsi="宋体" w:eastAsia="宋体" w:cs="宋体"/>
          <w:sz w:val="28"/>
          <w:szCs w:val="28"/>
        </w:rPr>
        <w:t>住所：</w:t>
      </w:r>
      <w:r>
        <w:rPr>
          <w:rFonts w:hint="eastAsia" w:ascii="宋体" w:hAnsi="宋体" w:eastAsia="宋体" w:cs="宋体"/>
          <w:sz w:val="28"/>
          <w:szCs w:val="28"/>
          <w:lang w:val="en-US" w:eastAsia="zh-CN"/>
        </w:rPr>
        <w:t>浙江省台州市仙居县南峰街道吾悦广场2-316、2-317号</w:t>
      </w:r>
    </w:p>
    <w:p w14:paraId="07450A0E">
      <w:pPr>
        <w:spacing w:line="600" w:lineRule="auto"/>
        <w:jc w:val="left"/>
        <w:rPr>
          <w:rFonts w:hint="default" w:ascii="宋体" w:hAnsi="宋体" w:eastAsia="宋体" w:cs="宋体"/>
          <w:sz w:val="28"/>
          <w:szCs w:val="28"/>
          <w:lang w:val="en-US"/>
        </w:rPr>
      </w:pPr>
      <w:r>
        <w:rPr>
          <w:rFonts w:hint="eastAsia" w:ascii="宋体" w:hAnsi="宋体" w:eastAsia="宋体" w:cs="宋体"/>
          <w:sz w:val="28"/>
          <w:szCs w:val="28"/>
        </w:rPr>
        <w:t>邮政编码：</w:t>
      </w:r>
      <w:r>
        <w:rPr>
          <w:rFonts w:hint="eastAsia" w:ascii="宋体" w:hAnsi="宋体" w:eastAsia="宋体" w:cs="宋体"/>
          <w:sz w:val="28"/>
          <w:szCs w:val="28"/>
          <w:lang w:val="en-US" w:eastAsia="zh-CN"/>
        </w:rPr>
        <w:t>317300</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负责人：</w:t>
      </w:r>
      <w:r>
        <w:rPr>
          <w:rFonts w:hint="eastAsia" w:ascii="宋体" w:hAnsi="宋体" w:eastAsia="宋体" w:cs="宋体"/>
          <w:sz w:val="28"/>
          <w:szCs w:val="28"/>
          <w:lang w:val="en-US" w:eastAsia="zh-CN"/>
        </w:rPr>
        <w:t>陈洪晓</w:t>
      </w:r>
    </w:p>
    <w:p w14:paraId="630D62FF">
      <w:pPr>
        <w:spacing w:line="600" w:lineRule="auto"/>
        <w:jc w:val="left"/>
        <w:rPr>
          <w:rFonts w:hint="default" w:ascii="宋体" w:hAnsi="宋体" w:eastAsia="宋体" w:cs="宋体"/>
          <w:sz w:val="28"/>
          <w:szCs w:val="28"/>
          <w:lang w:val="en-US" w:eastAsia="zh-CN"/>
        </w:rPr>
      </w:pPr>
      <w:r>
        <w:rPr>
          <w:rFonts w:hint="eastAsia" w:ascii="宋体" w:hAnsi="宋体" w:eastAsia="宋体" w:cs="宋体"/>
          <w:sz w:val="28"/>
          <w:szCs w:val="28"/>
        </w:rPr>
        <w:t>联系电话：057</w:t>
      </w:r>
      <w:r>
        <w:rPr>
          <w:rFonts w:hint="default" w:ascii="宋体" w:hAnsi="宋体" w:eastAsia="宋体" w:cs="宋体"/>
          <w:sz w:val="28"/>
          <w:szCs w:val="28"/>
          <w:lang w:val="en-US"/>
        </w:rPr>
        <w:t>6</w:t>
      </w:r>
      <w:r>
        <w:rPr>
          <w:rFonts w:hint="eastAsia" w:ascii="宋体" w:hAnsi="宋体" w:eastAsia="宋体" w:cs="宋体"/>
          <w:sz w:val="28"/>
          <w:szCs w:val="28"/>
        </w:rPr>
        <w:t>-</w:t>
      </w:r>
      <w:r>
        <w:rPr>
          <w:rFonts w:hint="default" w:ascii="宋体" w:hAnsi="宋体" w:eastAsia="宋体" w:cs="宋体"/>
          <w:sz w:val="28"/>
          <w:szCs w:val="28"/>
          <w:lang w:val="en-US"/>
        </w:rPr>
        <w:t>8</w:t>
      </w:r>
      <w:r>
        <w:rPr>
          <w:rFonts w:hint="eastAsia" w:ascii="宋体" w:hAnsi="宋体" w:eastAsia="宋体" w:cs="宋体"/>
          <w:sz w:val="28"/>
          <w:szCs w:val="28"/>
          <w:lang w:val="en-US" w:eastAsia="zh-CN"/>
        </w:rPr>
        <w:t>7836999</w:t>
      </w:r>
    </w:p>
    <w:p w14:paraId="40CA73B1">
      <w:pPr>
        <w:spacing w:line="60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发证机关：国家金融监督管理总局台州监管分局</w:t>
      </w:r>
    </w:p>
    <w:p w14:paraId="2FA9262F">
      <w:pPr>
        <w:spacing w:line="600" w:lineRule="auto"/>
        <w:jc w:val="left"/>
        <w:rPr>
          <w:rFonts w:hint="eastAsia" w:ascii="宋体" w:hAnsi="宋体" w:eastAsia="宋体" w:cs="宋体"/>
          <w:sz w:val="28"/>
          <w:szCs w:val="28"/>
        </w:rPr>
      </w:pPr>
      <w:r>
        <w:rPr>
          <w:rFonts w:hint="eastAsia" w:ascii="宋体" w:hAnsi="宋体" w:eastAsia="宋体" w:cs="宋体"/>
          <w:sz w:val="28"/>
          <w:szCs w:val="28"/>
        </w:rPr>
        <w:t>许可证颁发日期：</w:t>
      </w:r>
      <w:r>
        <w:rPr>
          <w:rFonts w:hint="eastAsia" w:ascii="宋体" w:hAnsi="宋体" w:eastAsia="宋体" w:cs="宋体"/>
          <w:sz w:val="28"/>
          <w:szCs w:val="28"/>
          <w:lang w:val="en-US" w:eastAsia="zh-CN"/>
        </w:rPr>
        <w:t>2025年11月</w:t>
      </w: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7日</w:t>
      </w:r>
    </w:p>
    <w:p w14:paraId="66D9CC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213AA"/>
    <w:rsid w:val="62CE6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jc w:val="both"/>
    </w:pPr>
    <w:rPr>
      <w:rFonts w:ascii="Times New Roman" w:hAnsi="Times New Roman" w:eastAsia="Times New Roman" w:cs="Times New Roman"/>
      <w:color w:val="000000"/>
      <w:kern w:val="2"/>
      <w:position w:val="0"/>
      <w:sz w:val="21"/>
      <w:u w:val="none" w:color="000000"/>
      <w:shd w:val="clear" w:color="auto" w:fill="auto"/>
      <w:lang w:val="en-US" w:eastAsia="en-US"/>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230</Words>
  <Characters>275</Characters>
  <Paragraphs>14</Paragraphs>
  <TotalTime>7</TotalTime>
  <ScaleCrop>false</ScaleCrop>
  <LinksUpToDate>false</LinksUpToDate>
  <CharactersWithSpaces>306</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2024-03-29T06:22:00Z</dcterms:created>
  <dc:creator>chentao</dc:creator>
  <cp:lastModifiedBy> </cp:lastModifiedBy>
  <dcterms:modified xsi:type="dcterms:W3CDTF">2025-11-27T03:07:37Z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164FBB7218EB4136A6BA0E4D0F6E0A99_13</vt:lpwstr>
  </property>
</Properties>
</file>