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028A">
      <w:pPr>
        <w:spacing w:beforeLines="0" w:afterLines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华泰人寿保险股份有限公司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丹东中心支公司</w:t>
      </w:r>
      <w:r>
        <w:rPr>
          <w:rFonts w:hint="eastAsia" w:ascii="黑体" w:hAnsi="黑体" w:eastAsia="黑体"/>
          <w:sz w:val="44"/>
          <w:szCs w:val="44"/>
        </w:rPr>
        <w:t>关于换领《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金融</w:t>
      </w:r>
      <w:r>
        <w:rPr>
          <w:rFonts w:hint="eastAsia" w:ascii="黑体" w:hAnsi="黑体" w:eastAsia="黑体"/>
          <w:sz w:val="44"/>
          <w:szCs w:val="44"/>
        </w:rPr>
        <w:t>许可证》的公告</w:t>
      </w:r>
    </w:p>
    <w:p w14:paraId="720B7ED9">
      <w:pPr>
        <w:spacing w:beforeLines="0" w:afterLines="0"/>
        <w:jc w:val="left"/>
        <w:rPr>
          <w:rFonts w:hint="eastAsia" w:ascii="仿宋" w:hAnsi="仿宋" w:eastAsia="仿宋"/>
          <w:sz w:val="32"/>
          <w:szCs w:val="24"/>
        </w:rPr>
      </w:pPr>
    </w:p>
    <w:p w14:paraId="60EA4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华泰人寿保险股份有限公司丹东中心支公司，经国家金融监督管理总局丹东监管分局批准，因地址变更换领新版《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许可证》，现予以公告。</w:t>
      </w:r>
    </w:p>
    <w:p w14:paraId="2F143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机构名称：华泰人寿保险股份有限公司丹东中心支公司</w:t>
      </w:r>
    </w:p>
    <w:p w14:paraId="228F5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许可证流水号：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01124079</w:t>
      </w:r>
    </w:p>
    <w:p w14:paraId="5C24C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批准日期：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ACB7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发证日期：202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年07月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31A1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丹东市振兴区锦山大街298-2号2308、2309、2310、2311、2312、2313、2314</w:t>
      </w:r>
    </w:p>
    <w:p w14:paraId="0C8CE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机构编码：0000762106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</w:p>
    <w:p w14:paraId="465B2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业务范围：人寿保险、健康保险、意外伤害保险等各类人身保险业务；经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或其他有行政许可权的机构批准并经上级机构（总公司）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的其他业务。</w:t>
      </w:r>
    </w:p>
    <w:p w14:paraId="36C4B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发证机关：国家金融监督管理总局丹东监管分局</w:t>
      </w:r>
    </w:p>
    <w:p w14:paraId="439A7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邮政编码：118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000</w:t>
      </w:r>
      <w:bookmarkStart w:id="0" w:name="_GoBack"/>
      <w:bookmarkEnd w:id="0"/>
    </w:p>
    <w:p w14:paraId="0DBCD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联系人电话：0415-3116658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146FC1"/>
    <w:rsid w:val="50D1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2026-07-02T02:10:00Z</dcterms:created>
  <cp:lastModifiedBy> </cp:lastModifiedBy>
  <dcterms:modified xsi:type="dcterms:W3CDTF">2026-07-02T02:52:18Z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D6E131125E7F4F33BB034033205840A0_12</vt:lpwstr>
  </property>
</Properties>
</file>